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Quarterly CE Compliance Review Template</w:t>
      </w:r>
    </w:p>
    <w:p>
      <w:pPr>
        <w:pStyle w:val="BodyText"/>
      </w:pPr>
      <w:r>
        <w:t>Use this editable agenda and sign-off sheet for recurring roster reviews. It is built around totals, category gaps, proof documents, renewal risk, and follow-up ownership.</w:t>
      </w:r>
    </w:p>
    <w:p>
      <w:pPr>
        <w:pStyle w:val="Heading1"/>
      </w:pPr>
      <w:r>
        <w:t>Meeting setup</w:t>
      </w:r>
    </w:p>
    <w:tbl>
      <w:tblPr>
        <w:tblW w:w="0" w:type="auto"/>
        <w:tblBorders>
          <w:top w:val="single" w:sz="6" w:color="CCCCCC"/>
          <w:left w:val="single" w:sz="6" w:color="CCCCCC"/>
          <w:bottom w:val="single" w:sz="6" w:color="CCCCCC"/>
          <w:right w:val="single" w:sz="6" w:color="CCCCCC"/>
          <w:insideH w:val="single" w:sz="6" w:color="CCCCCC"/>
          <w:insideV w:val="single" w:sz="6" w:color="CCCCCC"/>
        </w:tblBorders>
      </w:tblPr>
      <w:tr>
        <w:tc>
          <w:tcPr>
            <w:tcW w:w="4680" w:type="dxa"/>
          </w:tcPr>
          <w:p>
            <w:r>
              <w:rPr>
                <w:b/>
              </w:rPr>
              <w:t>Task or field</w:t>
            </w:r>
          </w:p>
        </w:tc>
        <w:tc>
          <w:tcPr>
            <w:tcW w:w="4680" w:type="dxa"/>
          </w:tcPr>
          <w:p>
            <w:r>
              <w:rPr>
                <w:b/>
              </w:rPr>
              <w:t>Notes, owner, and date</w:t>
            </w:r>
          </w:p>
        </w:tc>
      </w:tr>
      <w:tr>
        <w:tc>
          <w:tcPr>
            <w:tcW w:w="4680" w:type="dxa"/>
          </w:tcPr>
          <w:p>
            <w:r>
              <w:t>Practice or team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Quarter reviewed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Reviewer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Date completed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Roster count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</w:tbl>
    <w:p>
      <w:pPr>
        <w:pStyle w:val="Heading1"/>
      </w:pPr>
      <w:r>
        <w:t>Roster scan</w:t>
      </w:r>
    </w:p>
    <w:tbl>
      <w:tblPr>
        <w:tblW w:w="0" w:type="auto"/>
        <w:tblBorders>
          <w:top w:val="single" w:sz="6" w:color="CCCCCC"/>
          <w:left w:val="single" w:sz="6" w:color="CCCCCC"/>
          <w:bottom w:val="single" w:sz="6" w:color="CCCCCC"/>
          <w:right w:val="single" w:sz="6" w:color="CCCCCC"/>
          <w:insideH w:val="single" w:sz="6" w:color="CCCCCC"/>
          <w:insideV w:val="single" w:sz="6" w:color="CCCCCC"/>
        </w:tblBorders>
      </w:tblPr>
      <w:tr>
        <w:tc>
          <w:tcPr>
            <w:tcW w:w="4680" w:type="dxa"/>
          </w:tcPr>
          <w:p>
            <w:r>
              <w:rPr>
                <w:b/>
              </w:rPr>
              <w:t>Task or field</w:t>
            </w:r>
          </w:p>
        </w:tc>
        <w:tc>
          <w:tcPr>
            <w:tcW w:w="4680" w:type="dxa"/>
          </w:tcPr>
          <w:p>
            <w:r>
              <w:rPr>
                <w:b/>
              </w:rPr>
              <w:t>Notes, owner, and date</w:t>
            </w:r>
          </w:p>
        </w:tc>
      </w:tr>
      <w:tr>
        <w:tc>
          <w:tcPr>
            <w:tcW w:w="4680" w:type="dxa"/>
          </w:tcPr>
          <w:p>
            <w:r>
              <w:t>Every active clinician appears on the roster.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Departed clinicians have been removed from active review.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Each multi-state clinician has one record per license.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Renewal dates and cycle windows are current.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Primary-source license status is current or scheduled for refresh.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</w:tbl>
    <w:p>
      <w:pPr>
        <w:pStyle w:val="Heading1"/>
      </w:pPr>
      <w:r>
        <w:t>CE reconciliation</w:t>
      </w:r>
    </w:p>
    <w:tbl>
      <w:tblPr>
        <w:tblW w:w="0" w:type="auto"/>
        <w:tblBorders>
          <w:top w:val="single" w:sz="6" w:color="CCCCCC"/>
          <w:left w:val="single" w:sz="6" w:color="CCCCCC"/>
          <w:bottom w:val="single" w:sz="6" w:color="CCCCCC"/>
          <w:right w:val="single" w:sz="6" w:color="CCCCCC"/>
          <w:insideH w:val="single" w:sz="6" w:color="CCCCCC"/>
          <w:insideV w:val="single" w:sz="6" w:color="CCCCCC"/>
        </w:tblBorders>
      </w:tblPr>
      <w:tr>
        <w:tc>
          <w:tcPr>
            <w:tcW w:w="4680" w:type="dxa"/>
          </w:tcPr>
          <w:p>
            <w:r>
              <w:rPr>
                <w:b/>
              </w:rPr>
              <w:t>Task or field</w:t>
            </w:r>
          </w:p>
        </w:tc>
        <w:tc>
          <w:tcPr>
            <w:tcW w:w="4680" w:type="dxa"/>
          </w:tcPr>
          <w:p>
            <w:r>
              <w:rPr>
                <w:b/>
              </w:rPr>
              <w:t>Notes, owner, and date</w:t>
            </w:r>
          </w:p>
        </w:tc>
      </w:tr>
      <w:tr>
        <w:tc>
          <w:tcPr>
            <w:tcW w:w="4680" w:type="dxa"/>
          </w:tcPr>
          <w:p>
            <w:r>
              <w:t>Total hours are current for each license.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Ethics and category progress is tracked separately from total hours.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Self-study, live, and format limits have been checked where relevant.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Certificates are attached for every logged course.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Provider approval evidence is present where required.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</w:tbl>
    <w:p>
      <w:pPr>
        <w:pStyle w:val="Heading1"/>
      </w:pPr>
      <w:r>
        <w:t>Follow-up decisions</w:t>
      </w:r>
    </w:p>
    <w:tbl>
      <w:tblPr>
        <w:tblW w:w="0" w:type="auto"/>
        <w:tblBorders>
          <w:top w:val="single" w:sz="6" w:color="CCCCCC"/>
          <w:left w:val="single" w:sz="6" w:color="CCCCCC"/>
          <w:bottom w:val="single" w:sz="6" w:color="CCCCCC"/>
          <w:right w:val="single" w:sz="6" w:color="CCCCCC"/>
          <w:insideH w:val="single" w:sz="6" w:color="CCCCCC"/>
          <w:insideV w:val="single" w:sz="6" w:color="CCCCCC"/>
        </w:tblBorders>
      </w:tblPr>
      <w:tr>
        <w:tc>
          <w:tcPr>
            <w:tcW w:w="4680" w:type="dxa"/>
          </w:tcPr>
          <w:p>
            <w:r>
              <w:rPr>
                <w:b/>
              </w:rPr>
              <w:t>Task or field</w:t>
            </w:r>
          </w:p>
        </w:tc>
        <w:tc>
          <w:tcPr>
            <w:tcW w:w="4680" w:type="dxa"/>
          </w:tcPr>
          <w:p>
            <w:r>
              <w:rPr>
                <w:b/>
              </w:rPr>
              <w:t>Notes, owner, and date</w:t>
            </w:r>
          </w:p>
        </w:tc>
      </w:tr>
      <w:tr>
        <w:tc>
          <w:tcPr>
            <w:tcW w:w="4680" w:type="dxa"/>
          </w:tcPr>
          <w:p>
            <w:r>
              <w:t>Clinicians within 90 days of renewal have a clear status.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Missing documents have an owner and due date.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Category gaps have a remediation plan.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Escalations are documented and routed to the right owner.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Leadership summary sent or filed.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</w:tbl>
    <w:p>
      <w:pPr>
        <w:pStyle w:val="Heading1"/>
      </w:pPr>
      <w:r>
        <w:t>Sign-off</w:t>
      </w:r>
    </w:p>
    <w:tbl>
      <w:tblPr>
        <w:tblW w:w="0" w:type="auto"/>
        <w:tblBorders>
          <w:top w:val="single" w:sz="6" w:color="CCCCCC"/>
          <w:left w:val="single" w:sz="6" w:color="CCCCCC"/>
          <w:bottom w:val="single" w:sz="6" w:color="CCCCCC"/>
          <w:right w:val="single" w:sz="6" w:color="CCCCCC"/>
          <w:insideH w:val="single" w:sz="6" w:color="CCCCCC"/>
          <w:insideV w:val="single" w:sz="6" w:color="CCCCCC"/>
        </w:tblBorders>
      </w:tblPr>
      <w:tr>
        <w:tc>
          <w:tcPr>
            <w:tcW w:w="4680" w:type="dxa"/>
          </w:tcPr>
          <w:p>
            <w:r>
              <w:rPr>
                <w:b/>
              </w:rPr>
              <w:t>Task or field</w:t>
            </w:r>
          </w:p>
        </w:tc>
        <w:tc>
          <w:tcPr>
            <w:tcW w:w="4680" w:type="dxa"/>
          </w:tcPr>
          <w:p>
            <w:r>
              <w:rPr>
                <w:b/>
              </w:rPr>
              <w:t>Notes, owner, and date</w:t>
            </w:r>
          </w:p>
        </w:tc>
      </w:tr>
      <w:tr>
        <w:tc>
          <w:tcPr>
            <w:tcW w:w="4680" w:type="dxa"/>
          </w:tcPr>
          <w:p>
            <w:r>
              <w:t>Reviewer signature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Open issues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Next review date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</w:tbl>
    <w:p>
      <w:pPr>
        <w:pStyle w:val="BodyText"/>
      </w:pPr>
      <w:r>
        <w:t>Generated by certification.app. Adapt this template to your practice policy and board requirements.</w:t>
      </w:r>
    </w:p>
    <w:sectPr>
      <w:pgSz w:w="12240" w:h="15840"/>
      <w:pgMar w:top="1080" w:right="1080" w:bottom="1080" w:left="108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36"/>
    </w:rPr>
  </w:style>
  <w:style w:type="paragraph" w:styleId="Heading1">
    <w:name w:val="heading 1"/>
    <w:rPr>
      <w:b/>
      <w:sz w:val="24"/>
    </w:rPr>
  </w:style>
  <w:style w:type="paragraph" w:styleId="BodyText">
    <w:name w:val="Body Text"/>
    <w:rPr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